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04F1E" w14:textId="77777777" w:rsidR="002539BA" w:rsidRPr="00C3132D" w:rsidRDefault="00434177" w:rsidP="002539BA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                   GUIDANCE NOTES</w:t>
      </w:r>
      <w:r w:rsidR="002539BA">
        <w:rPr>
          <w:b/>
          <w:sz w:val="24"/>
        </w:rPr>
        <w:t xml:space="preserve"> FOR EVALUATING AND RECORDING</w:t>
      </w:r>
      <w:r w:rsidR="002539BA">
        <w:rPr>
          <w:b/>
          <w:sz w:val="24"/>
        </w:rPr>
        <w:tab/>
        <w:t xml:space="preserve">    </w:t>
      </w:r>
      <w:r w:rsidR="002539BA">
        <w:rPr>
          <w:b/>
          <w:sz w:val="24"/>
        </w:rPr>
        <w:tab/>
        <w:t xml:space="preserve">         </w:t>
      </w:r>
      <w:r w:rsidR="002539BA">
        <w:rPr>
          <w:b/>
          <w:noProof/>
          <w:sz w:val="24"/>
          <w:lang w:val="en-US" w:eastAsia="en-US"/>
        </w:rPr>
        <w:drawing>
          <wp:inline distT="0" distB="0" distL="0" distR="0" wp14:anchorId="7E8A2DD3" wp14:editId="160CF8E8">
            <wp:extent cx="838317" cy="8383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c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317" cy="8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39BA">
        <w:rPr>
          <w:b/>
          <w:sz w:val="24"/>
        </w:rPr>
        <w:t>CASE-STUDIES ON HEALTH LITERACY</w:t>
      </w:r>
      <w:r w:rsidR="002539BA">
        <w:rPr>
          <w:b/>
          <w:sz w:val="24"/>
        </w:rPr>
        <w:tab/>
      </w:r>
    </w:p>
    <w:p w14:paraId="6B782523" w14:textId="77777777" w:rsidR="002539BA" w:rsidRPr="00320921" w:rsidRDefault="002539BA" w:rsidP="009A4B0D">
      <w:pPr>
        <w:spacing w:after="0" w:line="240" w:lineRule="auto"/>
      </w:pPr>
    </w:p>
    <w:p w14:paraId="7B3597A3" w14:textId="77777777" w:rsidR="00307574" w:rsidRDefault="00A03F4E" w:rsidP="00C14DAE">
      <w:pPr>
        <w:spacing w:after="0" w:line="240" w:lineRule="auto"/>
        <w:jc w:val="both"/>
      </w:pPr>
      <w:r>
        <w:t>Health l</w:t>
      </w:r>
      <w:r w:rsidR="00C76D2B" w:rsidRPr="00C76D2B">
        <w:t xml:space="preserve">iteracy is a core theme for Belfast </w:t>
      </w:r>
      <w:r w:rsidR="000459AE">
        <w:t>as a member of</w:t>
      </w:r>
      <w:r w:rsidR="00C76D2B" w:rsidRPr="00C76D2B">
        <w:t xml:space="preserve"> Phase VI (2014-2018)</w:t>
      </w:r>
      <w:r w:rsidR="000459AE">
        <w:t xml:space="preserve"> of the</w:t>
      </w:r>
      <w:r w:rsidR="00C76D2B" w:rsidRPr="00C76D2B">
        <w:t xml:space="preserve"> WHO </w:t>
      </w:r>
      <w:r w:rsidR="000459AE">
        <w:t xml:space="preserve">European </w:t>
      </w:r>
      <w:r w:rsidR="00C76D2B" w:rsidRPr="00C76D2B">
        <w:t>Healthy Cities Network</w:t>
      </w:r>
      <w:r w:rsidR="000459AE">
        <w:t>.</w:t>
      </w:r>
      <w:r w:rsidR="00EF40F6">
        <w:t xml:space="preserve"> </w:t>
      </w:r>
      <w:r w:rsidR="000459AE">
        <w:t>A</w:t>
      </w:r>
      <w:r w:rsidR="00C76D2B" w:rsidRPr="00C76D2B">
        <w:t xml:space="preserve"> </w:t>
      </w:r>
      <w:r w:rsidR="000459AE">
        <w:t xml:space="preserve">health literacy </w:t>
      </w:r>
      <w:r w:rsidR="00C76D2B" w:rsidRPr="00C76D2B">
        <w:t xml:space="preserve">working group was established </w:t>
      </w:r>
      <w:r w:rsidR="00104390">
        <w:t xml:space="preserve">and </w:t>
      </w:r>
      <w:r w:rsidR="00C76D2B" w:rsidRPr="00C76D2B">
        <w:t>t</w:t>
      </w:r>
      <w:r w:rsidR="00EF40F6">
        <w:t>asked with</w:t>
      </w:r>
      <w:r w:rsidR="00C76D2B" w:rsidRPr="00C76D2B">
        <w:t xml:space="preserve"> develop</w:t>
      </w:r>
      <w:r w:rsidR="00EF40F6">
        <w:t>ing</w:t>
      </w:r>
      <w:r w:rsidR="000459AE">
        <w:t xml:space="preserve"> a </w:t>
      </w:r>
      <w:r w:rsidR="00C76D2B" w:rsidRPr="00C76D2B">
        <w:t>health literac</w:t>
      </w:r>
      <w:r w:rsidR="005B4A78">
        <w:t xml:space="preserve">y </w:t>
      </w:r>
      <w:r w:rsidR="000459AE">
        <w:t xml:space="preserve">project </w:t>
      </w:r>
      <w:r w:rsidR="005B4A78">
        <w:t xml:space="preserve">in Belfast.  </w:t>
      </w:r>
    </w:p>
    <w:p w14:paraId="52074605" w14:textId="77777777" w:rsidR="00307574" w:rsidRDefault="00307574" w:rsidP="00C14DAE">
      <w:pPr>
        <w:spacing w:after="0" w:line="240" w:lineRule="auto"/>
        <w:jc w:val="both"/>
      </w:pPr>
    </w:p>
    <w:p w14:paraId="7C1606C1" w14:textId="77777777" w:rsidR="009C023C" w:rsidRDefault="005B4A78" w:rsidP="00C14DAE">
      <w:pPr>
        <w:spacing w:after="0" w:line="240" w:lineRule="auto"/>
        <w:jc w:val="both"/>
      </w:pPr>
      <w:r>
        <w:t>R</w:t>
      </w:r>
      <w:r w:rsidR="00C76D2B" w:rsidRPr="00C76D2B">
        <w:t>ecognis</w:t>
      </w:r>
      <w:r>
        <w:t>ing</w:t>
      </w:r>
      <w:r w:rsidR="00C76D2B" w:rsidRPr="00C76D2B">
        <w:t xml:space="preserve"> that elements of existing initiatives </w:t>
      </w:r>
      <w:r w:rsidR="003F5D07">
        <w:t xml:space="preserve">in the city </w:t>
      </w:r>
      <w:r w:rsidR="00C76D2B" w:rsidRPr="00C76D2B">
        <w:t>incl</w:t>
      </w:r>
      <w:r>
        <w:t>ude aspects of health literacy, t</w:t>
      </w:r>
      <w:r w:rsidR="009C023C" w:rsidRPr="00320921">
        <w:t>he</w:t>
      </w:r>
      <w:r w:rsidR="003F5D07">
        <w:t>se</w:t>
      </w:r>
      <w:r w:rsidR="009C023C" w:rsidRPr="00320921">
        <w:t xml:space="preserve"> guidance notes</w:t>
      </w:r>
      <w:r w:rsidR="00F84914">
        <w:t xml:space="preserve"> outline</w:t>
      </w:r>
      <w:r w:rsidR="008367BC">
        <w:t xml:space="preserve"> a method to record information from such initiatives and to identify how they contribute to the concept of health literacy</w:t>
      </w:r>
      <w:r w:rsidR="003F5D07">
        <w:t>.</w:t>
      </w:r>
      <w:r w:rsidR="00B8783A">
        <w:t xml:space="preserve"> </w:t>
      </w:r>
      <w:r w:rsidR="004C4158">
        <w:t>Completing this case study template will increase awareness of</w:t>
      </w:r>
      <w:r w:rsidR="004F6179">
        <w:t xml:space="preserve"> elements of</w:t>
      </w:r>
      <w:r w:rsidR="004C4158">
        <w:t xml:space="preserve"> health literacy </w:t>
      </w:r>
      <w:r w:rsidR="004F6179">
        <w:t xml:space="preserve">within existing </w:t>
      </w:r>
      <w:r w:rsidR="004C4158">
        <w:t>initiatives.</w:t>
      </w:r>
      <w:r w:rsidR="00002010">
        <w:t xml:space="preserve"> </w:t>
      </w:r>
      <w:r w:rsidR="002F0F0A">
        <w:t>The case studies will</w:t>
      </w:r>
      <w:r w:rsidR="00217325">
        <w:t xml:space="preserve"> be collated in an online resource to</w:t>
      </w:r>
      <w:r w:rsidR="002F0F0A">
        <w:t xml:space="preserve"> provide a bank of information </w:t>
      </w:r>
      <w:r w:rsidR="008367BC">
        <w:t xml:space="preserve">to </w:t>
      </w:r>
      <w:r w:rsidR="002F0F0A">
        <w:t>aid replication through the adoption of models of work, influencing future work</w:t>
      </w:r>
      <w:r w:rsidR="00217325">
        <w:t xml:space="preserve"> to enhance health literacy</w:t>
      </w:r>
      <w:r w:rsidR="002F0F0A">
        <w:t>.</w:t>
      </w:r>
    </w:p>
    <w:p w14:paraId="740E0B41" w14:textId="77777777" w:rsidR="00647324" w:rsidRDefault="00647324" w:rsidP="00C14DAE">
      <w:pPr>
        <w:spacing w:after="0" w:line="240" w:lineRule="auto"/>
        <w:jc w:val="both"/>
      </w:pPr>
    </w:p>
    <w:p w14:paraId="59D2A13E" w14:textId="77777777" w:rsidR="00291B2B" w:rsidRDefault="00AD029F" w:rsidP="00291B2B">
      <w:pPr>
        <w:spacing w:after="0" w:line="240" w:lineRule="auto"/>
        <w:jc w:val="both"/>
      </w:pPr>
      <w:r>
        <w:t>Please read</w:t>
      </w:r>
      <w:r w:rsidR="00EF40F6">
        <w:t xml:space="preserve"> the</w:t>
      </w:r>
      <w:r>
        <w:t xml:space="preserve"> guidance notes </w:t>
      </w:r>
      <w:r w:rsidR="00A15995">
        <w:t xml:space="preserve">carefully before completing the template. </w:t>
      </w:r>
    </w:p>
    <w:p w14:paraId="00809F45" w14:textId="77777777" w:rsidR="004F6179" w:rsidRPr="00291B2B" w:rsidRDefault="004F6179" w:rsidP="00291B2B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7006"/>
      </w:tblGrid>
      <w:tr w:rsidR="0066559E" w14:paraId="57A452F4" w14:textId="77777777" w:rsidTr="002F055E">
        <w:tc>
          <w:tcPr>
            <w:tcW w:w="9242" w:type="dxa"/>
            <w:gridSpan w:val="2"/>
          </w:tcPr>
          <w:p w14:paraId="616AC214" w14:textId="77777777" w:rsidR="0066559E" w:rsidRPr="0066559E" w:rsidRDefault="0066559E" w:rsidP="003E67CD">
            <w:pPr>
              <w:rPr>
                <w:b/>
              </w:rPr>
            </w:pPr>
            <w:r w:rsidRPr="0066559E">
              <w:rPr>
                <w:b/>
              </w:rPr>
              <w:t>Case study details</w:t>
            </w:r>
          </w:p>
        </w:tc>
      </w:tr>
      <w:tr w:rsidR="00291B2B" w14:paraId="120D9BFF" w14:textId="77777777" w:rsidTr="00291B2B">
        <w:tc>
          <w:tcPr>
            <w:tcW w:w="2236" w:type="dxa"/>
          </w:tcPr>
          <w:p w14:paraId="560F5034" w14:textId="77777777" w:rsidR="00291B2B" w:rsidRPr="00920F8F" w:rsidRDefault="00291B2B" w:rsidP="0066559E">
            <w:pPr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7006" w:type="dxa"/>
          </w:tcPr>
          <w:p w14:paraId="2484B482" w14:textId="77777777" w:rsidR="00291B2B" w:rsidRPr="00920F8F" w:rsidRDefault="00291B2B" w:rsidP="003E67CD">
            <w:pPr>
              <w:rPr>
                <w:b/>
              </w:rPr>
            </w:pPr>
          </w:p>
        </w:tc>
      </w:tr>
      <w:tr w:rsidR="00291B2B" w14:paraId="3E609242" w14:textId="77777777" w:rsidTr="00291B2B">
        <w:tc>
          <w:tcPr>
            <w:tcW w:w="2236" w:type="dxa"/>
          </w:tcPr>
          <w:p w14:paraId="2F264507" w14:textId="77777777" w:rsidR="00291B2B" w:rsidRPr="00920F8F" w:rsidRDefault="00291B2B" w:rsidP="0066559E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7006" w:type="dxa"/>
          </w:tcPr>
          <w:p w14:paraId="6A32EAA4" w14:textId="77777777" w:rsidR="00291B2B" w:rsidRPr="00920F8F" w:rsidRDefault="00291B2B" w:rsidP="000D1D7E">
            <w:pPr>
              <w:rPr>
                <w:b/>
              </w:rPr>
            </w:pPr>
          </w:p>
        </w:tc>
      </w:tr>
      <w:tr w:rsidR="00291B2B" w14:paraId="3BE9AEFA" w14:textId="77777777" w:rsidTr="00291B2B">
        <w:tc>
          <w:tcPr>
            <w:tcW w:w="2236" w:type="dxa"/>
          </w:tcPr>
          <w:p w14:paraId="19D7D169" w14:textId="77777777" w:rsidR="00291B2B" w:rsidRPr="00920F8F" w:rsidRDefault="00291B2B" w:rsidP="0066559E">
            <w:pPr>
              <w:rPr>
                <w:b/>
              </w:rPr>
            </w:pPr>
            <w:r w:rsidRPr="00C80FDE">
              <w:rPr>
                <w:b/>
              </w:rPr>
              <w:t>G</w:t>
            </w:r>
            <w:r>
              <w:rPr>
                <w:b/>
              </w:rPr>
              <w:t xml:space="preserve">EOGRAPHY </w:t>
            </w:r>
          </w:p>
        </w:tc>
        <w:tc>
          <w:tcPr>
            <w:tcW w:w="7006" w:type="dxa"/>
          </w:tcPr>
          <w:p w14:paraId="07895E0C" w14:textId="77777777" w:rsidR="00291B2B" w:rsidRPr="00920F8F" w:rsidRDefault="00291B2B" w:rsidP="003E67CD">
            <w:pPr>
              <w:rPr>
                <w:b/>
              </w:rPr>
            </w:pPr>
          </w:p>
        </w:tc>
      </w:tr>
      <w:tr w:rsidR="00291B2B" w14:paraId="550CE184" w14:textId="77777777" w:rsidTr="002526F3">
        <w:trPr>
          <w:trHeight w:val="70"/>
        </w:trPr>
        <w:tc>
          <w:tcPr>
            <w:tcW w:w="2236" w:type="dxa"/>
          </w:tcPr>
          <w:p w14:paraId="0EEA84A4" w14:textId="77777777" w:rsidR="00291B2B" w:rsidRPr="00920F8F" w:rsidRDefault="00291B2B" w:rsidP="003E67CD">
            <w:pPr>
              <w:rPr>
                <w:b/>
              </w:rPr>
            </w:pPr>
            <w:r w:rsidRPr="00C80FDE">
              <w:rPr>
                <w:b/>
              </w:rPr>
              <w:t>K</w:t>
            </w:r>
            <w:r>
              <w:rPr>
                <w:b/>
              </w:rPr>
              <w:t>EY WORDS</w:t>
            </w:r>
          </w:p>
        </w:tc>
        <w:tc>
          <w:tcPr>
            <w:tcW w:w="7006" w:type="dxa"/>
          </w:tcPr>
          <w:p w14:paraId="55EF368F" w14:textId="77777777" w:rsidR="00291B2B" w:rsidRPr="00920F8F" w:rsidRDefault="00291B2B" w:rsidP="003E67CD">
            <w:pPr>
              <w:rPr>
                <w:b/>
              </w:rPr>
            </w:pPr>
          </w:p>
        </w:tc>
      </w:tr>
      <w:tr w:rsidR="000C1041" w14:paraId="78A386B4" w14:textId="77777777" w:rsidTr="00E80472">
        <w:tc>
          <w:tcPr>
            <w:tcW w:w="9242" w:type="dxa"/>
            <w:gridSpan w:val="2"/>
          </w:tcPr>
          <w:p w14:paraId="6A346F6D" w14:textId="77777777" w:rsidR="000C1041" w:rsidRDefault="000C1041" w:rsidP="003E67CD">
            <w:r w:rsidRPr="00920F8F">
              <w:rPr>
                <w:b/>
              </w:rPr>
              <w:t>Context of initiation</w:t>
            </w:r>
          </w:p>
        </w:tc>
      </w:tr>
      <w:tr w:rsidR="00315E96" w14:paraId="6D970337" w14:textId="77777777" w:rsidTr="000C1041">
        <w:tc>
          <w:tcPr>
            <w:tcW w:w="2236" w:type="dxa"/>
          </w:tcPr>
          <w:p w14:paraId="3473ACFD" w14:textId="77777777" w:rsidR="00315E96" w:rsidRPr="00920F8F" w:rsidRDefault="000C1041" w:rsidP="005B3EFC">
            <w:pPr>
              <w:tabs>
                <w:tab w:val="right" w:pos="2941"/>
              </w:tabs>
              <w:rPr>
                <w:b/>
              </w:rPr>
            </w:pPr>
            <w:r>
              <w:rPr>
                <w:b/>
              </w:rPr>
              <w:t>A</w:t>
            </w:r>
            <w:r w:rsidR="00E40D44" w:rsidRPr="00920F8F">
              <w:rPr>
                <w:b/>
              </w:rPr>
              <w:t>im</w:t>
            </w:r>
            <w:r w:rsidR="004F57E4" w:rsidRPr="00920F8F">
              <w:rPr>
                <w:b/>
              </w:rPr>
              <w:t>, background to group, what happened</w:t>
            </w:r>
          </w:p>
        </w:tc>
        <w:tc>
          <w:tcPr>
            <w:tcW w:w="7006" w:type="dxa"/>
          </w:tcPr>
          <w:p w14:paraId="54C03AA7" w14:textId="77777777" w:rsidR="00DA06AF" w:rsidRPr="00DA06AF" w:rsidRDefault="00DA06AF" w:rsidP="003E67CD"/>
        </w:tc>
      </w:tr>
      <w:tr w:rsidR="00315E96" w14:paraId="4038453A" w14:textId="77777777" w:rsidTr="000C1041">
        <w:tc>
          <w:tcPr>
            <w:tcW w:w="2236" w:type="dxa"/>
          </w:tcPr>
          <w:p w14:paraId="55633A0F" w14:textId="77777777" w:rsidR="00315E96" w:rsidRPr="00920F8F" w:rsidRDefault="00315E96" w:rsidP="006E47FA">
            <w:pPr>
              <w:rPr>
                <w:b/>
              </w:rPr>
            </w:pPr>
            <w:r w:rsidRPr="00920F8F">
              <w:rPr>
                <w:b/>
              </w:rPr>
              <w:t>Context of community or target group</w:t>
            </w:r>
          </w:p>
        </w:tc>
        <w:tc>
          <w:tcPr>
            <w:tcW w:w="7006" w:type="dxa"/>
          </w:tcPr>
          <w:p w14:paraId="5AB72CA3" w14:textId="77777777" w:rsidR="003E67CD" w:rsidRPr="003E67CD" w:rsidRDefault="003E67CD" w:rsidP="003E67CD"/>
        </w:tc>
      </w:tr>
      <w:tr w:rsidR="00315E96" w14:paraId="57D890C1" w14:textId="77777777" w:rsidTr="000C1041">
        <w:tc>
          <w:tcPr>
            <w:tcW w:w="2236" w:type="dxa"/>
          </w:tcPr>
          <w:p w14:paraId="49C49E02" w14:textId="77777777" w:rsidR="00315E96" w:rsidRPr="00920F8F" w:rsidRDefault="00315E96" w:rsidP="009244AA">
            <w:pPr>
              <w:rPr>
                <w:b/>
              </w:rPr>
            </w:pPr>
            <w:r w:rsidRPr="00920F8F">
              <w:rPr>
                <w:b/>
              </w:rPr>
              <w:t>Influences on case</w:t>
            </w:r>
            <w:r w:rsidR="009244AA">
              <w:rPr>
                <w:b/>
              </w:rPr>
              <w:t xml:space="preserve"> </w:t>
            </w:r>
            <w:r w:rsidRPr="00920F8F">
              <w:rPr>
                <w:b/>
              </w:rPr>
              <w:t xml:space="preserve">study </w:t>
            </w:r>
          </w:p>
        </w:tc>
        <w:tc>
          <w:tcPr>
            <w:tcW w:w="7006" w:type="dxa"/>
          </w:tcPr>
          <w:p w14:paraId="16EE87B3" w14:textId="77777777" w:rsidR="00A77ECE" w:rsidRPr="00AA47A6" w:rsidRDefault="00A77ECE" w:rsidP="00B05DDF"/>
        </w:tc>
      </w:tr>
      <w:tr w:rsidR="00315E96" w14:paraId="176CB918" w14:textId="77777777" w:rsidTr="000C1041">
        <w:tc>
          <w:tcPr>
            <w:tcW w:w="2236" w:type="dxa"/>
          </w:tcPr>
          <w:p w14:paraId="2A3614D4" w14:textId="77777777" w:rsidR="00315E96" w:rsidRPr="00920F8F" w:rsidRDefault="00651507" w:rsidP="006E47FA">
            <w:pPr>
              <w:rPr>
                <w:b/>
              </w:rPr>
            </w:pPr>
            <w:r w:rsidRPr="00920F8F">
              <w:rPr>
                <w:b/>
              </w:rPr>
              <w:t>P</w:t>
            </w:r>
            <w:r w:rsidR="00315E96" w:rsidRPr="00920F8F">
              <w:rPr>
                <w:b/>
              </w:rPr>
              <w:t>olicy</w:t>
            </w:r>
            <w:r w:rsidR="00755E7C" w:rsidRPr="00920F8F">
              <w:rPr>
                <w:b/>
              </w:rPr>
              <w:t xml:space="preserve"> and other</w:t>
            </w:r>
            <w:r w:rsidR="00315E96" w:rsidRPr="00920F8F">
              <w:rPr>
                <w:b/>
              </w:rPr>
              <w:t xml:space="preserve"> problems</w:t>
            </w:r>
          </w:p>
        </w:tc>
        <w:tc>
          <w:tcPr>
            <w:tcW w:w="7006" w:type="dxa"/>
          </w:tcPr>
          <w:p w14:paraId="77C9E540" w14:textId="77777777" w:rsidR="00920F8F" w:rsidRPr="00F31537" w:rsidRDefault="00920F8F" w:rsidP="00356813"/>
        </w:tc>
      </w:tr>
      <w:tr w:rsidR="00315E96" w14:paraId="27F46015" w14:textId="77777777" w:rsidTr="000C1041">
        <w:tc>
          <w:tcPr>
            <w:tcW w:w="2236" w:type="dxa"/>
          </w:tcPr>
          <w:p w14:paraId="41059679" w14:textId="77777777" w:rsidR="00315E96" w:rsidRPr="00920F8F" w:rsidRDefault="00315E96" w:rsidP="00315E96">
            <w:pPr>
              <w:rPr>
                <w:b/>
              </w:rPr>
            </w:pPr>
            <w:r w:rsidRPr="00920F8F">
              <w:rPr>
                <w:b/>
              </w:rPr>
              <w:t>Prior experience with health literacy across sectors</w:t>
            </w:r>
          </w:p>
        </w:tc>
        <w:tc>
          <w:tcPr>
            <w:tcW w:w="7006" w:type="dxa"/>
          </w:tcPr>
          <w:p w14:paraId="0E6A881C" w14:textId="77777777" w:rsidR="00A77ECE" w:rsidRPr="002A2A08" w:rsidRDefault="00A77ECE" w:rsidP="00A2354B"/>
        </w:tc>
      </w:tr>
      <w:tr w:rsidR="00315E96" w14:paraId="6DC381B8" w14:textId="77777777" w:rsidTr="000C1041">
        <w:tc>
          <w:tcPr>
            <w:tcW w:w="2236" w:type="dxa"/>
          </w:tcPr>
          <w:p w14:paraId="6516CB29" w14:textId="77777777" w:rsidR="00315E96" w:rsidRPr="00920F8F" w:rsidRDefault="009244AA" w:rsidP="00315E96">
            <w:pPr>
              <w:rPr>
                <w:b/>
              </w:rPr>
            </w:pPr>
            <w:r>
              <w:rPr>
                <w:b/>
              </w:rPr>
              <w:t>Concept of health and</w:t>
            </w:r>
            <w:r w:rsidR="00315E96" w:rsidRPr="00920F8F">
              <w:rPr>
                <w:b/>
              </w:rPr>
              <w:t xml:space="preserve"> health literacy</w:t>
            </w:r>
          </w:p>
        </w:tc>
        <w:tc>
          <w:tcPr>
            <w:tcW w:w="7006" w:type="dxa"/>
          </w:tcPr>
          <w:p w14:paraId="367CD350" w14:textId="77777777" w:rsidR="00A77ECE" w:rsidRPr="00AA47A6" w:rsidRDefault="00A77ECE" w:rsidP="004A20D5"/>
        </w:tc>
      </w:tr>
      <w:tr w:rsidR="000C1041" w14:paraId="42A60ABE" w14:textId="77777777" w:rsidTr="000F0EBC">
        <w:tc>
          <w:tcPr>
            <w:tcW w:w="9242" w:type="dxa"/>
            <w:gridSpan w:val="2"/>
          </w:tcPr>
          <w:p w14:paraId="00547200" w14:textId="77777777" w:rsidR="000C1041" w:rsidRPr="00AA47A6" w:rsidRDefault="000D43F4" w:rsidP="00127C29">
            <w:r>
              <w:rPr>
                <w:b/>
              </w:rPr>
              <w:t>Context of</w:t>
            </w:r>
            <w:r w:rsidR="000C1041">
              <w:rPr>
                <w:b/>
              </w:rPr>
              <w:t xml:space="preserve"> project</w:t>
            </w:r>
            <w:r>
              <w:rPr>
                <w:b/>
              </w:rPr>
              <w:t xml:space="preserve"> implementation</w:t>
            </w:r>
          </w:p>
        </w:tc>
      </w:tr>
      <w:tr w:rsidR="00315E96" w14:paraId="77CE6E00" w14:textId="77777777" w:rsidTr="000C1041">
        <w:tc>
          <w:tcPr>
            <w:tcW w:w="2236" w:type="dxa"/>
          </w:tcPr>
          <w:p w14:paraId="76F70352" w14:textId="77777777" w:rsidR="00315E96" w:rsidRPr="00920F8F" w:rsidRDefault="00755E7C" w:rsidP="00755E7C">
            <w:pPr>
              <w:rPr>
                <w:b/>
              </w:rPr>
            </w:pPr>
            <w:r w:rsidRPr="00920F8F">
              <w:rPr>
                <w:b/>
              </w:rPr>
              <w:t>P</w:t>
            </w:r>
            <w:r w:rsidR="00315E96" w:rsidRPr="00920F8F">
              <w:rPr>
                <w:b/>
              </w:rPr>
              <w:t>rioritisation</w:t>
            </w:r>
            <w:r w:rsidRPr="00920F8F">
              <w:rPr>
                <w:b/>
              </w:rPr>
              <w:t xml:space="preserve"> of issue</w:t>
            </w:r>
          </w:p>
        </w:tc>
        <w:tc>
          <w:tcPr>
            <w:tcW w:w="7006" w:type="dxa"/>
          </w:tcPr>
          <w:p w14:paraId="7D476961" w14:textId="77777777" w:rsidR="00315E96" w:rsidRDefault="00315E96" w:rsidP="00B317EE"/>
          <w:p w14:paraId="37A2B389" w14:textId="77777777" w:rsidR="0084453A" w:rsidRPr="00AA47A6" w:rsidRDefault="0084453A" w:rsidP="00B317EE"/>
        </w:tc>
      </w:tr>
      <w:tr w:rsidR="00315E96" w14:paraId="3737E068" w14:textId="77777777" w:rsidTr="000C1041">
        <w:tc>
          <w:tcPr>
            <w:tcW w:w="2236" w:type="dxa"/>
          </w:tcPr>
          <w:p w14:paraId="455EF108" w14:textId="77777777" w:rsidR="00315E96" w:rsidRPr="00920F8F" w:rsidRDefault="00315E96" w:rsidP="006E47FA">
            <w:pPr>
              <w:rPr>
                <w:b/>
              </w:rPr>
            </w:pPr>
            <w:r w:rsidRPr="00920F8F">
              <w:rPr>
                <w:b/>
              </w:rPr>
              <w:t>Formal processes</w:t>
            </w:r>
          </w:p>
        </w:tc>
        <w:tc>
          <w:tcPr>
            <w:tcW w:w="7006" w:type="dxa"/>
          </w:tcPr>
          <w:p w14:paraId="6651A3A2" w14:textId="77777777" w:rsidR="00A22C10" w:rsidRDefault="00A22C10" w:rsidP="0084453A">
            <w:pPr>
              <w:pStyle w:val="ListParagraph"/>
              <w:ind w:left="316"/>
              <w:rPr>
                <w:b/>
              </w:rPr>
            </w:pPr>
          </w:p>
          <w:p w14:paraId="64FF74FC" w14:textId="77777777" w:rsidR="0084453A" w:rsidRPr="00533FC2" w:rsidRDefault="0084453A" w:rsidP="0084453A">
            <w:pPr>
              <w:pStyle w:val="ListParagraph"/>
              <w:ind w:left="316"/>
              <w:rPr>
                <w:b/>
              </w:rPr>
            </w:pPr>
          </w:p>
        </w:tc>
      </w:tr>
      <w:tr w:rsidR="00315E96" w14:paraId="575C0E8E" w14:textId="77777777" w:rsidTr="000C1041">
        <w:tc>
          <w:tcPr>
            <w:tcW w:w="2236" w:type="dxa"/>
          </w:tcPr>
          <w:p w14:paraId="75A8CF18" w14:textId="77777777" w:rsidR="00315E96" w:rsidRPr="00920F8F" w:rsidRDefault="00315E96" w:rsidP="008C0AA2">
            <w:pPr>
              <w:rPr>
                <w:b/>
              </w:rPr>
            </w:pPr>
            <w:r w:rsidRPr="00920F8F">
              <w:rPr>
                <w:b/>
              </w:rPr>
              <w:t xml:space="preserve">Availability of resources </w:t>
            </w:r>
          </w:p>
        </w:tc>
        <w:tc>
          <w:tcPr>
            <w:tcW w:w="7006" w:type="dxa"/>
          </w:tcPr>
          <w:p w14:paraId="681DB956" w14:textId="77777777" w:rsidR="00315E96" w:rsidRPr="00AA47A6" w:rsidRDefault="00315E96" w:rsidP="00BD30BA"/>
        </w:tc>
      </w:tr>
      <w:tr w:rsidR="00315E96" w14:paraId="48AF6B10" w14:textId="77777777" w:rsidTr="000C1041">
        <w:tc>
          <w:tcPr>
            <w:tcW w:w="2236" w:type="dxa"/>
          </w:tcPr>
          <w:p w14:paraId="01A73029" w14:textId="77777777" w:rsidR="00315E96" w:rsidRPr="00920F8F" w:rsidRDefault="00315E96" w:rsidP="006E47FA">
            <w:pPr>
              <w:rPr>
                <w:b/>
              </w:rPr>
            </w:pPr>
            <w:r w:rsidRPr="00920F8F">
              <w:rPr>
                <w:b/>
              </w:rPr>
              <w:t>Capacity-building activities</w:t>
            </w:r>
          </w:p>
        </w:tc>
        <w:tc>
          <w:tcPr>
            <w:tcW w:w="7006" w:type="dxa"/>
          </w:tcPr>
          <w:p w14:paraId="05EF4ED1" w14:textId="77777777" w:rsidR="00C70F57" w:rsidRPr="000C7C5A" w:rsidRDefault="00C70F57" w:rsidP="00251D62"/>
        </w:tc>
      </w:tr>
      <w:tr w:rsidR="00315E96" w14:paraId="3489F48D" w14:textId="77777777" w:rsidTr="000C1041">
        <w:tc>
          <w:tcPr>
            <w:tcW w:w="2236" w:type="dxa"/>
          </w:tcPr>
          <w:p w14:paraId="0CAB2090" w14:textId="77777777" w:rsidR="00315E96" w:rsidRPr="00920F8F" w:rsidRDefault="00315E96" w:rsidP="00315E96">
            <w:pPr>
              <w:rPr>
                <w:b/>
              </w:rPr>
            </w:pPr>
            <w:r w:rsidRPr="00920F8F">
              <w:rPr>
                <w:b/>
              </w:rPr>
              <w:t xml:space="preserve">Social mechanisms, </w:t>
            </w:r>
            <w:r w:rsidRPr="00920F8F">
              <w:rPr>
                <w:b/>
              </w:rPr>
              <w:lastRenderedPageBreak/>
              <w:t>i.e.</w:t>
            </w:r>
            <w:r w:rsidR="00CC27EB" w:rsidRPr="00920F8F">
              <w:rPr>
                <w:b/>
              </w:rPr>
              <w:t xml:space="preserve"> </w:t>
            </w:r>
            <w:r w:rsidRPr="00920F8F">
              <w:rPr>
                <w:b/>
              </w:rPr>
              <w:t>activities &amp; actions</w:t>
            </w:r>
          </w:p>
        </w:tc>
        <w:tc>
          <w:tcPr>
            <w:tcW w:w="7006" w:type="dxa"/>
          </w:tcPr>
          <w:p w14:paraId="1C0CDD13" w14:textId="77777777" w:rsidR="00315E96" w:rsidRPr="00AA47A6" w:rsidRDefault="00315E96" w:rsidP="00BC2B7B"/>
        </w:tc>
      </w:tr>
      <w:tr w:rsidR="000C1041" w14:paraId="2360C58D" w14:textId="77777777" w:rsidTr="0056600F">
        <w:tc>
          <w:tcPr>
            <w:tcW w:w="9242" w:type="dxa"/>
            <w:gridSpan w:val="2"/>
          </w:tcPr>
          <w:p w14:paraId="2B77861D" w14:textId="77777777" w:rsidR="000C1041" w:rsidRPr="00AA47A6" w:rsidRDefault="000C1041" w:rsidP="006E47FA">
            <w:r w:rsidRPr="00920F8F">
              <w:rPr>
                <w:b/>
              </w:rPr>
              <w:lastRenderedPageBreak/>
              <w:t>Main outcomes</w:t>
            </w:r>
          </w:p>
        </w:tc>
      </w:tr>
      <w:tr w:rsidR="00315E96" w14:paraId="73C4EEF8" w14:textId="77777777" w:rsidTr="000C1041">
        <w:tc>
          <w:tcPr>
            <w:tcW w:w="2236" w:type="dxa"/>
          </w:tcPr>
          <w:p w14:paraId="528782D8" w14:textId="77777777" w:rsidR="00315E96" w:rsidRPr="00920F8F" w:rsidRDefault="00315E96" w:rsidP="00B917BC">
            <w:pPr>
              <w:rPr>
                <w:b/>
              </w:rPr>
            </w:pPr>
            <w:r w:rsidRPr="00920F8F">
              <w:rPr>
                <w:b/>
              </w:rPr>
              <w:t>Acceptability</w:t>
            </w:r>
          </w:p>
        </w:tc>
        <w:tc>
          <w:tcPr>
            <w:tcW w:w="7006" w:type="dxa"/>
          </w:tcPr>
          <w:p w14:paraId="33B38364" w14:textId="77777777" w:rsidR="00C70F57" w:rsidRDefault="00C70F57" w:rsidP="00433500">
            <w:pPr>
              <w:pStyle w:val="FootnoteText"/>
            </w:pPr>
          </w:p>
          <w:p w14:paraId="08C474E3" w14:textId="77777777" w:rsidR="0084453A" w:rsidRPr="00AA47A6" w:rsidRDefault="0084453A" w:rsidP="00433500">
            <w:pPr>
              <w:pStyle w:val="FootnoteText"/>
            </w:pPr>
          </w:p>
        </w:tc>
      </w:tr>
      <w:tr w:rsidR="00315E96" w14:paraId="7ABF852C" w14:textId="77777777" w:rsidTr="000C1041">
        <w:tc>
          <w:tcPr>
            <w:tcW w:w="2236" w:type="dxa"/>
          </w:tcPr>
          <w:p w14:paraId="65109D5F" w14:textId="77777777" w:rsidR="00315E96" w:rsidRPr="00920F8F" w:rsidRDefault="00315E96" w:rsidP="00B917BC">
            <w:pPr>
              <w:rPr>
                <w:b/>
              </w:rPr>
            </w:pPr>
            <w:r w:rsidRPr="00920F8F">
              <w:rPr>
                <w:b/>
              </w:rPr>
              <w:t>Feasibility</w:t>
            </w:r>
          </w:p>
        </w:tc>
        <w:tc>
          <w:tcPr>
            <w:tcW w:w="7006" w:type="dxa"/>
          </w:tcPr>
          <w:p w14:paraId="49723A53" w14:textId="77777777" w:rsidR="00315E96" w:rsidRDefault="00315E96" w:rsidP="006E47FA"/>
          <w:p w14:paraId="3E3462CF" w14:textId="77777777" w:rsidR="0084453A" w:rsidRPr="00AA47A6" w:rsidRDefault="0084453A" w:rsidP="006E47FA"/>
        </w:tc>
      </w:tr>
      <w:tr w:rsidR="00315E96" w14:paraId="28616FA4" w14:textId="77777777" w:rsidTr="000C1041">
        <w:tc>
          <w:tcPr>
            <w:tcW w:w="2236" w:type="dxa"/>
          </w:tcPr>
          <w:p w14:paraId="2064F15B" w14:textId="77777777" w:rsidR="00315E96" w:rsidRPr="00920F8F" w:rsidRDefault="00315E96" w:rsidP="00B917BC">
            <w:pPr>
              <w:rPr>
                <w:b/>
              </w:rPr>
            </w:pPr>
            <w:r w:rsidRPr="00920F8F">
              <w:rPr>
                <w:b/>
              </w:rPr>
              <w:t>Sustainability</w:t>
            </w:r>
          </w:p>
        </w:tc>
        <w:tc>
          <w:tcPr>
            <w:tcW w:w="7006" w:type="dxa"/>
          </w:tcPr>
          <w:p w14:paraId="5B8BFA03" w14:textId="77777777" w:rsidR="00315E96" w:rsidRDefault="00315E96" w:rsidP="008B084E"/>
          <w:p w14:paraId="240329A5" w14:textId="77777777" w:rsidR="0084453A" w:rsidRPr="00AA47A6" w:rsidRDefault="0084453A" w:rsidP="008B084E"/>
        </w:tc>
      </w:tr>
      <w:tr w:rsidR="00315E96" w14:paraId="20EA9EC5" w14:textId="77777777" w:rsidTr="000C1041">
        <w:tc>
          <w:tcPr>
            <w:tcW w:w="2236" w:type="dxa"/>
          </w:tcPr>
          <w:p w14:paraId="3D04B21B" w14:textId="77777777" w:rsidR="00315E96" w:rsidRPr="00920F8F" w:rsidRDefault="00315E96" w:rsidP="006E47FA">
            <w:pPr>
              <w:rPr>
                <w:b/>
              </w:rPr>
            </w:pPr>
            <w:r w:rsidRPr="00920F8F">
              <w:rPr>
                <w:b/>
              </w:rPr>
              <w:t>Other comments/</w:t>
            </w:r>
            <w:r w:rsidR="000E3770">
              <w:rPr>
                <w:b/>
              </w:rPr>
              <w:t xml:space="preserve"> </w:t>
            </w:r>
            <w:r w:rsidRPr="00920F8F">
              <w:rPr>
                <w:b/>
              </w:rPr>
              <w:t>information</w:t>
            </w:r>
          </w:p>
        </w:tc>
        <w:tc>
          <w:tcPr>
            <w:tcW w:w="7006" w:type="dxa"/>
          </w:tcPr>
          <w:p w14:paraId="7831933E" w14:textId="77777777" w:rsidR="00315E96" w:rsidRPr="00AA47A6" w:rsidRDefault="00315E96" w:rsidP="00306714"/>
        </w:tc>
      </w:tr>
      <w:tr w:rsidR="008C0AA2" w14:paraId="6B550599" w14:textId="77777777" w:rsidTr="000C1041">
        <w:tc>
          <w:tcPr>
            <w:tcW w:w="2236" w:type="dxa"/>
          </w:tcPr>
          <w:p w14:paraId="63D9BF1C" w14:textId="77777777" w:rsidR="008C0AA2" w:rsidRPr="00920F8F" w:rsidRDefault="008C0AA2" w:rsidP="006E47FA">
            <w:pPr>
              <w:rPr>
                <w:b/>
              </w:rPr>
            </w:pPr>
            <w:r w:rsidRPr="00920F8F">
              <w:rPr>
                <w:b/>
              </w:rPr>
              <w:t>Headline message(s)</w:t>
            </w:r>
          </w:p>
        </w:tc>
        <w:tc>
          <w:tcPr>
            <w:tcW w:w="7006" w:type="dxa"/>
          </w:tcPr>
          <w:p w14:paraId="33858351" w14:textId="77777777" w:rsidR="008C0AA2" w:rsidRDefault="008C0AA2" w:rsidP="00F51EBC"/>
          <w:p w14:paraId="240B94B7" w14:textId="77777777" w:rsidR="0084453A" w:rsidRPr="00AA47A6" w:rsidRDefault="0084453A" w:rsidP="00F51EBC"/>
        </w:tc>
      </w:tr>
      <w:tr w:rsidR="00C70F57" w14:paraId="67DA2349" w14:textId="77777777" w:rsidTr="000C1041">
        <w:tc>
          <w:tcPr>
            <w:tcW w:w="2236" w:type="dxa"/>
          </w:tcPr>
          <w:p w14:paraId="37C4A59C" w14:textId="77777777" w:rsidR="00C70F57" w:rsidRPr="00920F8F" w:rsidRDefault="00C70F57" w:rsidP="006E1AD5">
            <w:pPr>
              <w:rPr>
                <w:b/>
              </w:rPr>
            </w:pPr>
            <w:r w:rsidRPr="00920F8F">
              <w:rPr>
                <w:b/>
              </w:rPr>
              <w:t>Evaluation</w:t>
            </w:r>
          </w:p>
        </w:tc>
        <w:tc>
          <w:tcPr>
            <w:tcW w:w="7006" w:type="dxa"/>
          </w:tcPr>
          <w:p w14:paraId="0E122239" w14:textId="77777777" w:rsidR="00C70F57" w:rsidRDefault="00C70F57" w:rsidP="008B37A6"/>
          <w:p w14:paraId="68B7A24C" w14:textId="77777777" w:rsidR="0084453A" w:rsidRPr="008B37A6" w:rsidRDefault="0084453A" w:rsidP="008B37A6"/>
        </w:tc>
      </w:tr>
      <w:tr w:rsidR="00C70F57" w14:paraId="2FF5A4E3" w14:textId="77777777" w:rsidTr="000C1041">
        <w:tc>
          <w:tcPr>
            <w:tcW w:w="2236" w:type="dxa"/>
          </w:tcPr>
          <w:p w14:paraId="36889404" w14:textId="77777777" w:rsidR="00C70F57" w:rsidRPr="00920F8F" w:rsidRDefault="00C70F57" w:rsidP="006E47FA">
            <w:pPr>
              <w:rPr>
                <w:b/>
              </w:rPr>
            </w:pPr>
            <w:r w:rsidRPr="00920F8F">
              <w:rPr>
                <w:b/>
              </w:rPr>
              <w:t>Further Information</w:t>
            </w:r>
          </w:p>
        </w:tc>
        <w:tc>
          <w:tcPr>
            <w:tcW w:w="7006" w:type="dxa"/>
          </w:tcPr>
          <w:p w14:paraId="30A337E5" w14:textId="77777777" w:rsidR="007518B8" w:rsidRDefault="007518B8" w:rsidP="007518B8"/>
          <w:p w14:paraId="00A408E3" w14:textId="77777777" w:rsidR="0084453A" w:rsidRPr="00AA47A6" w:rsidRDefault="0084453A" w:rsidP="007518B8"/>
        </w:tc>
      </w:tr>
    </w:tbl>
    <w:p w14:paraId="7DC369AF" w14:textId="77777777" w:rsidR="00BD0BDB" w:rsidRDefault="00BD0BDB" w:rsidP="00DF1682">
      <w:pPr>
        <w:spacing w:after="0" w:line="240" w:lineRule="auto"/>
      </w:pPr>
    </w:p>
    <w:p w14:paraId="4CBA6662" w14:textId="77777777" w:rsidR="00DF1682" w:rsidRDefault="00A676C3" w:rsidP="00DF1682">
      <w:pPr>
        <w:spacing w:after="0" w:line="240" w:lineRule="auto"/>
      </w:pPr>
      <w:r>
        <w:t>For further information p</w:t>
      </w:r>
      <w:r w:rsidR="00DF1682">
        <w:t>lease contact Anne McCusk</w:t>
      </w:r>
      <w:r>
        <w:t>er at Belfast Health</w:t>
      </w:r>
      <w:r w:rsidR="008D4C1C">
        <w:t>y</w:t>
      </w:r>
      <w:r>
        <w:t xml:space="preserve"> Cities </w:t>
      </w:r>
      <w:r w:rsidR="00DF1682" w:rsidRPr="00DF1682">
        <w:rPr>
          <w:rStyle w:val="Hyperlink"/>
        </w:rPr>
        <w:t>a</w:t>
      </w:r>
      <w:hyperlink r:id="rId9" w:history="1">
        <w:r w:rsidR="00DF1682" w:rsidRPr="00386680">
          <w:rPr>
            <w:rStyle w:val="Hyperlink"/>
          </w:rPr>
          <w:t>nne@belfastheatlhycities.com</w:t>
        </w:r>
      </w:hyperlink>
      <w:r w:rsidR="00DF1682">
        <w:t xml:space="preserve"> or 02890 328811.</w:t>
      </w:r>
    </w:p>
    <w:p w14:paraId="25F68CF4" w14:textId="77777777" w:rsidR="00F16AEE" w:rsidRDefault="00F16AEE" w:rsidP="004F6179"/>
    <w:sectPr w:rsidR="00F16AEE" w:rsidSect="00BF5F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C90F6" w14:textId="77777777" w:rsidR="00AD7200" w:rsidRDefault="00AD7200" w:rsidP="00CC27EB">
      <w:pPr>
        <w:spacing w:after="0" w:line="240" w:lineRule="auto"/>
      </w:pPr>
      <w:r>
        <w:separator/>
      </w:r>
    </w:p>
  </w:endnote>
  <w:endnote w:type="continuationSeparator" w:id="0">
    <w:p w14:paraId="0013D296" w14:textId="77777777" w:rsidR="00AD7200" w:rsidRDefault="00AD7200" w:rsidP="00CC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9C4EA" w14:textId="77777777" w:rsidR="002B46E1" w:rsidRDefault="002B46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34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3BE158" w14:textId="77777777" w:rsidR="004D7380" w:rsidRDefault="004D73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6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40D74B" w14:textId="77777777" w:rsidR="00CC27EB" w:rsidRDefault="00CC27E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4C13" w14:textId="77777777" w:rsidR="002B46E1" w:rsidRDefault="002B46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058F4" w14:textId="77777777" w:rsidR="00AD7200" w:rsidRDefault="00AD7200" w:rsidP="00CC27EB">
      <w:pPr>
        <w:spacing w:after="0" w:line="240" w:lineRule="auto"/>
      </w:pPr>
      <w:r>
        <w:separator/>
      </w:r>
    </w:p>
  </w:footnote>
  <w:footnote w:type="continuationSeparator" w:id="0">
    <w:p w14:paraId="65C0F85B" w14:textId="77777777" w:rsidR="00AD7200" w:rsidRDefault="00AD7200" w:rsidP="00CC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01C9" w14:textId="77777777" w:rsidR="00CC27EB" w:rsidRDefault="00CC27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0121D" w14:textId="77777777" w:rsidR="00CC27EB" w:rsidRDefault="00CC27E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E5837" w14:textId="77777777" w:rsidR="00CC27EB" w:rsidRDefault="00CC27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3415D"/>
    <w:multiLevelType w:val="hybridMultilevel"/>
    <w:tmpl w:val="8564D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B4D94"/>
    <w:multiLevelType w:val="hybridMultilevel"/>
    <w:tmpl w:val="862851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96"/>
    <w:rsid w:val="00002010"/>
    <w:rsid w:val="00044C1B"/>
    <w:rsid w:val="000459AE"/>
    <w:rsid w:val="000526B7"/>
    <w:rsid w:val="00057F6C"/>
    <w:rsid w:val="00074593"/>
    <w:rsid w:val="00083624"/>
    <w:rsid w:val="0009686C"/>
    <w:rsid w:val="000A7E43"/>
    <w:rsid w:val="000B00F9"/>
    <w:rsid w:val="000C1041"/>
    <w:rsid w:val="000C7C5A"/>
    <w:rsid w:val="000D1D7E"/>
    <w:rsid w:val="000D43F4"/>
    <w:rsid w:val="000D6EB0"/>
    <w:rsid w:val="000E3770"/>
    <w:rsid w:val="00104390"/>
    <w:rsid w:val="00121140"/>
    <w:rsid w:val="00127C29"/>
    <w:rsid w:val="0014507F"/>
    <w:rsid w:val="001451DB"/>
    <w:rsid w:val="001668DC"/>
    <w:rsid w:val="00174813"/>
    <w:rsid w:val="0019220E"/>
    <w:rsid w:val="001B5AB6"/>
    <w:rsid w:val="001E1325"/>
    <w:rsid w:val="001F5C0B"/>
    <w:rsid w:val="00217325"/>
    <w:rsid w:val="00223092"/>
    <w:rsid w:val="0024569D"/>
    <w:rsid w:val="00251D62"/>
    <w:rsid w:val="002526F3"/>
    <w:rsid w:val="002539BA"/>
    <w:rsid w:val="00255CED"/>
    <w:rsid w:val="002771C1"/>
    <w:rsid w:val="00281FA4"/>
    <w:rsid w:val="002855E7"/>
    <w:rsid w:val="00291B2B"/>
    <w:rsid w:val="002A0087"/>
    <w:rsid w:val="002A2A08"/>
    <w:rsid w:val="002B46E1"/>
    <w:rsid w:val="002E48C6"/>
    <w:rsid w:val="002E4975"/>
    <w:rsid w:val="002E597D"/>
    <w:rsid w:val="002F0F0A"/>
    <w:rsid w:val="002F4944"/>
    <w:rsid w:val="002F574C"/>
    <w:rsid w:val="003043B2"/>
    <w:rsid w:val="00306714"/>
    <w:rsid w:val="00307574"/>
    <w:rsid w:val="00315E96"/>
    <w:rsid w:val="003169BB"/>
    <w:rsid w:val="00320921"/>
    <w:rsid w:val="00325400"/>
    <w:rsid w:val="00344760"/>
    <w:rsid w:val="00356813"/>
    <w:rsid w:val="003579B5"/>
    <w:rsid w:val="00380229"/>
    <w:rsid w:val="00393D5C"/>
    <w:rsid w:val="003E4BDF"/>
    <w:rsid w:val="003E67CD"/>
    <w:rsid w:val="003F57D2"/>
    <w:rsid w:val="003F5D07"/>
    <w:rsid w:val="004237D5"/>
    <w:rsid w:val="00424596"/>
    <w:rsid w:val="00425547"/>
    <w:rsid w:val="00433500"/>
    <w:rsid w:val="00434177"/>
    <w:rsid w:val="00456381"/>
    <w:rsid w:val="0046716D"/>
    <w:rsid w:val="004A20D5"/>
    <w:rsid w:val="004C4158"/>
    <w:rsid w:val="004C6623"/>
    <w:rsid w:val="004D7380"/>
    <w:rsid w:val="004E576D"/>
    <w:rsid w:val="004F57E4"/>
    <w:rsid w:val="004F6179"/>
    <w:rsid w:val="0053071D"/>
    <w:rsid w:val="00533FC2"/>
    <w:rsid w:val="00534497"/>
    <w:rsid w:val="00562506"/>
    <w:rsid w:val="00576010"/>
    <w:rsid w:val="005B3EFC"/>
    <w:rsid w:val="005B4A78"/>
    <w:rsid w:val="005C4901"/>
    <w:rsid w:val="005C6FA7"/>
    <w:rsid w:val="005E63BD"/>
    <w:rsid w:val="005F04AF"/>
    <w:rsid w:val="005F1B85"/>
    <w:rsid w:val="0062432A"/>
    <w:rsid w:val="00647236"/>
    <w:rsid w:val="00647324"/>
    <w:rsid w:val="00651507"/>
    <w:rsid w:val="0066559E"/>
    <w:rsid w:val="006B4A9F"/>
    <w:rsid w:val="006F414F"/>
    <w:rsid w:val="00745986"/>
    <w:rsid w:val="007518B8"/>
    <w:rsid w:val="007537A2"/>
    <w:rsid w:val="00755E7C"/>
    <w:rsid w:val="0078078C"/>
    <w:rsid w:val="00783BDB"/>
    <w:rsid w:val="007A104E"/>
    <w:rsid w:val="007C1FE3"/>
    <w:rsid w:val="007D1EA1"/>
    <w:rsid w:val="007E4306"/>
    <w:rsid w:val="007F082D"/>
    <w:rsid w:val="00802AF8"/>
    <w:rsid w:val="0082006B"/>
    <w:rsid w:val="00825862"/>
    <w:rsid w:val="008367BC"/>
    <w:rsid w:val="0084453A"/>
    <w:rsid w:val="00885BDA"/>
    <w:rsid w:val="008B084E"/>
    <w:rsid w:val="008B37A6"/>
    <w:rsid w:val="008C0AA2"/>
    <w:rsid w:val="008D4C1C"/>
    <w:rsid w:val="009120DC"/>
    <w:rsid w:val="00920F8F"/>
    <w:rsid w:val="009244AA"/>
    <w:rsid w:val="00926EF2"/>
    <w:rsid w:val="00930FDD"/>
    <w:rsid w:val="00950CBF"/>
    <w:rsid w:val="00955296"/>
    <w:rsid w:val="00956217"/>
    <w:rsid w:val="00956972"/>
    <w:rsid w:val="00980257"/>
    <w:rsid w:val="00990957"/>
    <w:rsid w:val="009A4B0D"/>
    <w:rsid w:val="009B0A16"/>
    <w:rsid w:val="009C023C"/>
    <w:rsid w:val="009C6281"/>
    <w:rsid w:val="009F1A1B"/>
    <w:rsid w:val="00A03F4E"/>
    <w:rsid w:val="00A1504E"/>
    <w:rsid w:val="00A15995"/>
    <w:rsid w:val="00A208B4"/>
    <w:rsid w:val="00A22C10"/>
    <w:rsid w:val="00A2354B"/>
    <w:rsid w:val="00A24F38"/>
    <w:rsid w:val="00A266EA"/>
    <w:rsid w:val="00A313D1"/>
    <w:rsid w:val="00A3654D"/>
    <w:rsid w:val="00A37506"/>
    <w:rsid w:val="00A5017E"/>
    <w:rsid w:val="00A676C3"/>
    <w:rsid w:val="00A7418F"/>
    <w:rsid w:val="00A77ECE"/>
    <w:rsid w:val="00A87771"/>
    <w:rsid w:val="00AA4699"/>
    <w:rsid w:val="00AA47A6"/>
    <w:rsid w:val="00AB0405"/>
    <w:rsid w:val="00AD029F"/>
    <w:rsid w:val="00AD7200"/>
    <w:rsid w:val="00AF09E4"/>
    <w:rsid w:val="00B05DDF"/>
    <w:rsid w:val="00B21CA7"/>
    <w:rsid w:val="00B317EE"/>
    <w:rsid w:val="00B34D18"/>
    <w:rsid w:val="00B35187"/>
    <w:rsid w:val="00B530D6"/>
    <w:rsid w:val="00B632B6"/>
    <w:rsid w:val="00B73703"/>
    <w:rsid w:val="00B8783A"/>
    <w:rsid w:val="00B917BC"/>
    <w:rsid w:val="00B97AA6"/>
    <w:rsid w:val="00B97F46"/>
    <w:rsid w:val="00BA04FC"/>
    <w:rsid w:val="00BC081D"/>
    <w:rsid w:val="00BC2B7B"/>
    <w:rsid w:val="00BC4CC3"/>
    <w:rsid w:val="00BD0BDB"/>
    <w:rsid w:val="00BD30BA"/>
    <w:rsid w:val="00BE7278"/>
    <w:rsid w:val="00BF0052"/>
    <w:rsid w:val="00BF045F"/>
    <w:rsid w:val="00BF0C64"/>
    <w:rsid w:val="00BF5F40"/>
    <w:rsid w:val="00BF6D75"/>
    <w:rsid w:val="00BF7FC3"/>
    <w:rsid w:val="00C031B4"/>
    <w:rsid w:val="00C055C7"/>
    <w:rsid w:val="00C10860"/>
    <w:rsid w:val="00C149ED"/>
    <w:rsid w:val="00C14DAE"/>
    <w:rsid w:val="00C3132D"/>
    <w:rsid w:val="00C32863"/>
    <w:rsid w:val="00C6126F"/>
    <w:rsid w:val="00C70F57"/>
    <w:rsid w:val="00C76D2B"/>
    <w:rsid w:val="00C80FDE"/>
    <w:rsid w:val="00CA152F"/>
    <w:rsid w:val="00CA3054"/>
    <w:rsid w:val="00CA4212"/>
    <w:rsid w:val="00CB2ECD"/>
    <w:rsid w:val="00CB634B"/>
    <w:rsid w:val="00CC086F"/>
    <w:rsid w:val="00CC1D4C"/>
    <w:rsid w:val="00CC27EB"/>
    <w:rsid w:val="00CE2E1D"/>
    <w:rsid w:val="00CE340E"/>
    <w:rsid w:val="00D2645A"/>
    <w:rsid w:val="00D303C6"/>
    <w:rsid w:val="00D500A5"/>
    <w:rsid w:val="00D67912"/>
    <w:rsid w:val="00DA06AF"/>
    <w:rsid w:val="00DA48A0"/>
    <w:rsid w:val="00DA6C7D"/>
    <w:rsid w:val="00DC282A"/>
    <w:rsid w:val="00DE054A"/>
    <w:rsid w:val="00DF1682"/>
    <w:rsid w:val="00DF2C3C"/>
    <w:rsid w:val="00DF7D23"/>
    <w:rsid w:val="00E02402"/>
    <w:rsid w:val="00E10F2F"/>
    <w:rsid w:val="00E14FD7"/>
    <w:rsid w:val="00E40D44"/>
    <w:rsid w:val="00E513F1"/>
    <w:rsid w:val="00E92596"/>
    <w:rsid w:val="00EA15D4"/>
    <w:rsid w:val="00EA3F2C"/>
    <w:rsid w:val="00EB623F"/>
    <w:rsid w:val="00ED2432"/>
    <w:rsid w:val="00ED5DD3"/>
    <w:rsid w:val="00EE4A20"/>
    <w:rsid w:val="00EE5A08"/>
    <w:rsid w:val="00EF40F6"/>
    <w:rsid w:val="00EF7848"/>
    <w:rsid w:val="00F05A2B"/>
    <w:rsid w:val="00F16AEE"/>
    <w:rsid w:val="00F31537"/>
    <w:rsid w:val="00F51EBC"/>
    <w:rsid w:val="00F84914"/>
    <w:rsid w:val="00FA4D39"/>
    <w:rsid w:val="00FB03A8"/>
    <w:rsid w:val="00FD6926"/>
    <w:rsid w:val="00FF10EA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29D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2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7EB"/>
  </w:style>
  <w:style w:type="paragraph" w:styleId="Footer">
    <w:name w:val="footer"/>
    <w:basedOn w:val="Normal"/>
    <w:link w:val="FooterChar"/>
    <w:uiPriority w:val="99"/>
    <w:unhideWhenUsed/>
    <w:rsid w:val="00CC2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7EB"/>
  </w:style>
  <w:style w:type="paragraph" w:styleId="FootnoteText">
    <w:name w:val="footnote text"/>
    <w:basedOn w:val="Normal"/>
    <w:link w:val="FootnoteTextChar"/>
    <w:uiPriority w:val="99"/>
    <w:unhideWhenUsed/>
    <w:rsid w:val="00CC27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27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27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200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168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303C6"/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nne@belfastheatlhycities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9483F-CB28-2049-878E-6B42C5EB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BVHC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Ison</dc:creator>
  <cp:lastModifiedBy>Geoffrey Ready</cp:lastModifiedBy>
  <cp:revision>6</cp:revision>
  <dcterms:created xsi:type="dcterms:W3CDTF">2016-04-19T14:45:00Z</dcterms:created>
  <dcterms:modified xsi:type="dcterms:W3CDTF">2016-05-03T18:48:00Z</dcterms:modified>
</cp:coreProperties>
</file>